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01BA2" w:rsidRDefault="00F92268" w:rsidP="00231603">
      <w:pPr>
        <w:pStyle w:val="BodyText"/>
        <w:spacing w:after="0"/>
        <w:rPr>
          <w:sz w:val="6"/>
          <w:szCs w:val="6"/>
        </w:rPr>
      </w:pPr>
      <w:r w:rsidRPr="00C01BA2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01BA2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01BA2" w:rsidRDefault="00F92268" w:rsidP="00F246C7">
            <w:pPr>
              <w:pStyle w:val="RefTableData"/>
            </w:pPr>
            <w:r w:rsidRPr="00C01BA2">
              <w:t>Reference number(s)</w:t>
            </w:r>
          </w:p>
        </w:tc>
      </w:tr>
      <w:tr w:rsidR="00F92268" w:rsidRPr="00C01BA2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BAFCDD4" w:rsidR="006E32D4" w:rsidRPr="00C01BA2" w:rsidRDefault="006E32D4" w:rsidP="00C01BA2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169-J</w:t>
            </w:r>
            <w:r w:rsidR="00C01BA2" w:rsidRPr="00C01BA2">
              <w:rPr>
                <w:sz w:val="16"/>
                <w:szCs w:val="16"/>
              </w:rPr>
              <w:t>,</w:t>
            </w:r>
            <w:r w:rsidR="0071399F">
              <w:rPr>
                <w:sz w:val="16"/>
                <w:szCs w:val="16"/>
              </w:rPr>
              <w:t xml:space="preserve"> </w:t>
            </w:r>
            <w:r w:rsidRPr="00C01BA2">
              <w:rPr>
                <w:sz w:val="16"/>
                <w:szCs w:val="16"/>
              </w:rPr>
              <w:t>918-J</w:t>
            </w:r>
          </w:p>
        </w:tc>
      </w:tr>
    </w:tbl>
    <w:p w14:paraId="74FBA5B4" w14:textId="77777777" w:rsidR="00051356" w:rsidRPr="00C01BA2" w:rsidRDefault="00051356" w:rsidP="00231603">
      <w:pPr>
        <w:pStyle w:val="BodyText"/>
        <w:spacing w:after="0"/>
        <w:rPr>
          <w:b/>
          <w:bCs/>
          <w:sz w:val="16"/>
          <w:szCs w:val="16"/>
        </w:rPr>
        <w:sectPr w:rsidR="00051356" w:rsidRPr="00C01BA2" w:rsidSect="00542AF1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275B5E8" w:rsidR="004B15BB" w:rsidRPr="00C01BA2" w:rsidRDefault="00691165" w:rsidP="007E5C16">
      <w:pPr>
        <w:pStyle w:val="Heading1"/>
      </w:pPr>
      <w:r>
        <w:t>Post Limit Prior Auth</w:t>
      </w:r>
      <w:r w:rsidR="00D13ACB">
        <w:t>orization</w:t>
      </w:r>
      <w:r w:rsidR="008C54D9" w:rsidRPr="00C01BA2">
        <w:br/>
      </w:r>
      <w:r w:rsidR="006E32D4" w:rsidRPr="00C01BA2">
        <w:t>Proton Pump Inhibitors</w:t>
      </w:r>
    </w:p>
    <w:p w14:paraId="78861C92" w14:textId="2E1A09E1" w:rsidR="00203468" w:rsidRPr="00C01BA2" w:rsidRDefault="00C64534" w:rsidP="008E0F0D">
      <w:pPr>
        <w:pStyle w:val="Heading2"/>
      </w:pPr>
      <w:r w:rsidRPr="00C01BA2">
        <w:t xml:space="preserve">Products Referenced by this </w:t>
      </w:r>
      <w:r w:rsidR="00501602" w:rsidRPr="00C01BA2">
        <w:t>Document</w:t>
      </w:r>
    </w:p>
    <w:p w14:paraId="5455152B" w14:textId="25E48576" w:rsidR="008E0F0D" w:rsidRPr="00C01BA2" w:rsidRDefault="00D82D85" w:rsidP="008B73E8">
      <w:pPr>
        <w:pStyle w:val="BodyText"/>
      </w:pPr>
      <w:r w:rsidRPr="00C01BA2">
        <w:t xml:space="preserve">Drugs that are listed in the </w:t>
      </w:r>
      <w:r w:rsidR="000315F1" w:rsidRPr="00C01BA2">
        <w:t>following table</w:t>
      </w:r>
      <w:r w:rsidRPr="00C01BA2">
        <w:t xml:space="preserve"> include both brand and generic and all dosage forms and strengths unless otherwise stated. </w:t>
      </w:r>
      <w:r w:rsidR="00FE0196">
        <w:t>Over-the-counter (</w:t>
      </w:r>
      <w:r w:rsidRPr="00C01BA2">
        <w:t>OTC</w:t>
      </w:r>
      <w:r w:rsidR="00FE0196">
        <w:t>)</w:t>
      </w:r>
      <w:r w:rsidRPr="00C01BA2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01BA2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C01BA2" w:rsidRDefault="00252CE1" w:rsidP="00252FD9">
            <w:pPr>
              <w:pStyle w:val="TableHeader"/>
              <w:spacing w:after="0"/>
            </w:pPr>
            <w:bookmarkStart w:id="0" w:name="_Hlk159603270"/>
            <w:r w:rsidRPr="00C01BA2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C01BA2" w:rsidRDefault="00252CE1" w:rsidP="00252FD9">
            <w:pPr>
              <w:pStyle w:val="TableHeader"/>
              <w:spacing w:after="0"/>
            </w:pPr>
            <w:r w:rsidRPr="00C01BA2">
              <w:t>Generic Name</w:t>
            </w:r>
          </w:p>
        </w:tc>
      </w:tr>
      <w:tr w:rsidR="00585FFF" w:rsidRPr="00C01BA2" w14:paraId="2AD5C02D" w14:textId="77777777" w:rsidTr="000C5A6F">
        <w:trPr>
          <w:cantSplit/>
        </w:trPr>
        <w:tc>
          <w:tcPr>
            <w:tcW w:w="5265" w:type="dxa"/>
          </w:tcPr>
          <w:p w14:paraId="2D8FA8E3" w14:textId="4C4A7352" w:rsidR="00585FFF" w:rsidRPr="00C01BA2" w:rsidRDefault="006E32D4" w:rsidP="00252FD9">
            <w:pPr>
              <w:pStyle w:val="TableDataUnpadded"/>
            </w:pPr>
            <w:r w:rsidRPr="00C01BA2">
              <w:t>AcipHex</w:t>
            </w:r>
          </w:p>
        </w:tc>
        <w:tc>
          <w:tcPr>
            <w:tcW w:w="5595" w:type="dxa"/>
          </w:tcPr>
          <w:p w14:paraId="7E26A004" w14:textId="640D3E04" w:rsidR="00585FFF" w:rsidRPr="00C01BA2" w:rsidRDefault="006E32D4" w:rsidP="00252FD9">
            <w:pPr>
              <w:pStyle w:val="TableDataUnpadded"/>
            </w:pPr>
            <w:r w:rsidRPr="00C01BA2">
              <w:t>rabeprazole</w:t>
            </w:r>
          </w:p>
        </w:tc>
      </w:tr>
      <w:tr w:rsidR="00D21D0C" w:rsidRPr="00C01BA2" w14:paraId="79C2A122" w14:textId="77777777" w:rsidTr="000C5A6F">
        <w:trPr>
          <w:cantSplit/>
        </w:trPr>
        <w:tc>
          <w:tcPr>
            <w:tcW w:w="5265" w:type="dxa"/>
          </w:tcPr>
          <w:p w14:paraId="08001603" w14:textId="37A58D8B" w:rsidR="00D21D0C" w:rsidRPr="00C01BA2" w:rsidRDefault="00AF645D" w:rsidP="00252FD9">
            <w:pPr>
              <w:pStyle w:val="TableDataUnpadded"/>
            </w:pPr>
            <w:r w:rsidRPr="00C01BA2">
              <w:t>Acip</w:t>
            </w:r>
            <w:r w:rsidR="00164F5E">
              <w:t>H</w:t>
            </w:r>
            <w:r w:rsidRPr="00C01BA2">
              <w:t>ex Sprinkles</w:t>
            </w:r>
          </w:p>
        </w:tc>
        <w:tc>
          <w:tcPr>
            <w:tcW w:w="5595" w:type="dxa"/>
          </w:tcPr>
          <w:p w14:paraId="26C54A5D" w14:textId="55685618" w:rsidR="00D21D0C" w:rsidRPr="00C01BA2" w:rsidRDefault="006E32D4" w:rsidP="00252FD9">
            <w:pPr>
              <w:pStyle w:val="TableDataUnpadded"/>
            </w:pPr>
            <w:r w:rsidRPr="00C01BA2">
              <w:t>rabeprazole</w:t>
            </w:r>
          </w:p>
        </w:tc>
      </w:tr>
      <w:tr w:rsidR="00D21D0C" w:rsidRPr="00C01BA2" w14:paraId="420A61B5" w14:textId="77777777" w:rsidTr="000C5A6F">
        <w:trPr>
          <w:cantSplit/>
        </w:trPr>
        <w:tc>
          <w:tcPr>
            <w:tcW w:w="5265" w:type="dxa"/>
          </w:tcPr>
          <w:p w14:paraId="064084F6" w14:textId="57376E8D" w:rsidR="00D21D0C" w:rsidRPr="00C01BA2" w:rsidRDefault="006E32D4" w:rsidP="00252FD9">
            <w:pPr>
              <w:pStyle w:val="TableDataUnpadded"/>
            </w:pPr>
            <w:r w:rsidRPr="00C01BA2">
              <w:t>Dexilant</w:t>
            </w:r>
          </w:p>
        </w:tc>
        <w:tc>
          <w:tcPr>
            <w:tcW w:w="5595" w:type="dxa"/>
          </w:tcPr>
          <w:p w14:paraId="5BE6D872" w14:textId="553E6F66" w:rsidR="00D21D0C" w:rsidRPr="00C01BA2" w:rsidRDefault="006E32D4" w:rsidP="00252FD9">
            <w:pPr>
              <w:pStyle w:val="TableDataUnpadded"/>
            </w:pPr>
            <w:r w:rsidRPr="00C01BA2">
              <w:t>dexlansoprazole</w:t>
            </w:r>
          </w:p>
        </w:tc>
      </w:tr>
      <w:tr w:rsidR="006E32D4" w:rsidRPr="00C01BA2" w14:paraId="2A1E08F8" w14:textId="77777777" w:rsidTr="000C5A6F">
        <w:trPr>
          <w:cantSplit/>
        </w:trPr>
        <w:tc>
          <w:tcPr>
            <w:tcW w:w="5265" w:type="dxa"/>
          </w:tcPr>
          <w:p w14:paraId="58BC023C" w14:textId="396323AE" w:rsidR="006E32D4" w:rsidRPr="00C01BA2" w:rsidRDefault="00AF645D" w:rsidP="00252FD9">
            <w:pPr>
              <w:pStyle w:val="TableDataUnpadded"/>
            </w:pPr>
            <w:proofErr w:type="spellStart"/>
            <w:r w:rsidRPr="00C01BA2">
              <w:t>Konvomep</w:t>
            </w:r>
            <w:proofErr w:type="spellEnd"/>
          </w:p>
        </w:tc>
        <w:tc>
          <w:tcPr>
            <w:tcW w:w="5595" w:type="dxa"/>
          </w:tcPr>
          <w:p w14:paraId="3FAEA5DE" w14:textId="2089E742" w:rsidR="006E32D4" w:rsidRPr="00C01BA2" w:rsidRDefault="006E32D4" w:rsidP="00252FD9">
            <w:pPr>
              <w:pStyle w:val="TableDataUnpadded"/>
            </w:pPr>
            <w:r w:rsidRPr="00C01BA2">
              <w:t>omeprazole/sodium bicarbonate</w:t>
            </w:r>
          </w:p>
        </w:tc>
      </w:tr>
      <w:tr w:rsidR="006E32D4" w:rsidRPr="00C01BA2" w14:paraId="6472365F" w14:textId="77777777" w:rsidTr="000C5A6F">
        <w:trPr>
          <w:cantSplit/>
        </w:trPr>
        <w:tc>
          <w:tcPr>
            <w:tcW w:w="5265" w:type="dxa"/>
          </w:tcPr>
          <w:p w14:paraId="4071F5CA" w14:textId="6DDFC343" w:rsidR="006E32D4" w:rsidRPr="00C01BA2" w:rsidRDefault="006E32D4" w:rsidP="00252FD9">
            <w:pPr>
              <w:pStyle w:val="TableDataUnpadded"/>
            </w:pPr>
            <w:r w:rsidRPr="00C01BA2">
              <w:t>Nexium</w:t>
            </w:r>
          </w:p>
        </w:tc>
        <w:tc>
          <w:tcPr>
            <w:tcW w:w="5595" w:type="dxa"/>
          </w:tcPr>
          <w:p w14:paraId="6EEF1129" w14:textId="4FAAFB11" w:rsidR="006E32D4" w:rsidRPr="00C01BA2" w:rsidRDefault="006E32D4" w:rsidP="00252FD9">
            <w:pPr>
              <w:pStyle w:val="TableDataUnpadded"/>
            </w:pPr>
            <w:r w:rsidRPr="00C01BA2">
              <w:t>esomeprazole</w:t>
            </w:r>
          </w:p>
        </w:tc>
      </w:tr>
      <w:tr w:rsidR="006E32D4" w:rsidRPr="00C01BA2" w14:paraId="40A8C9D0" w14:textId="77777777" w:rsidTr="000C5A6F">
        <w:trPr>
          <w:cantSplit/>
        </w:trPr>
        <w:tc>
          <w:tcPr>
            <w:tcW w:w="5265" w:type="dxa"/>
          </w:tcPr>
          <w:p w14:paraId="6B08693A" w14:textId="288A9A31" w:rsidR="006E32D4" w:rsidRPr="00C01BA2" w:rsidRDefault="006E32D4" w:rsidP="00252FD9">
            <w:pPr>
              <w:pStyle w:val="TableDataUnpadded"/>
            </w:pPr>
            <w:r w:rsidRPr="00C01BA2">
              <w:t>Prevacid</w:t>
            </w:r>
          </w:p>
        </w:tc>
        <w:tc>
          <w:tcPr>
            <w:tcW w:w="5595" w:type="dxa"/>
          </w:tcPr>
          <w:p w14:paraId="3CB9D839" w14:textId="06CC99D9" w:rsidR="006E32D4" w:rsidRPr="00C01BA2" w:rsidRDefault="006E32D4" w:rsidP="00252FD9">
            <w:pPr>
              <w:pStyle w:val="TableDataUnpadded"/>
            </w:pPr>
            <w:r w:rsidRPr="00C01BA2">
              <w:t>lansoprazole</w:t>
            </w:r>
          </w:p>
        </w:tc>
      </w:tr>
      <w:tr w:rsidR="006E32D4" w:rsidRPr="00C01BA2" w14:paraId="0EFB6EF2" w14:textId="77777777" w:rsidTr="000C5A6F">
        <w:trPr>
          <w:cantSplit/>
        </w:trPr>
        <w:tc>
          <w:tcPr>
            <w:tcW w:w="5265" w:type="dxa"/>
          </w:tcPr>
          <w:p w14:paraId="03F3B9A4" w14:textId="654BBD08" w:rsidR="006E32D4" w:rsidRPr="00C01BA2" w:rsidRDefault="006E32D4" w:rsidP="00252FD9">
            <w:pPr>
              <w:pStyle w:val="TableDataUnpadded"/>
            </w:pPr>
            <w:r w:rsidRPr="00C01BA2">
              <w:t>Prilosec</w:t>
            </w:r>
          </w:p>
        </w:tc>
        <w:tc>
          <w:tcPr>
            <w:tcW w:w="5595" w:type="dxa"/>
          </w:tcPr>
          <w:p w14:paraId="38256E0B" w14:textId="71437797" w:rsidR="006E32D4" w:rsidRPr="00C01BA2" w:rsidRDefault="006E32D4" w:rsidP="00252FD9">
            <w:pPr>
              <w:pStyle w:val="TableDataUnpadded"/>
            </w:pPr>
            <w:r w:rsidRPr="00C01BA2">
              <w:t>lansoprazole</w:t>
            </w:r>
          </w:p>
        </w:tc>
      </w:tr>
      <w:tr w:rsidR="006E32D4" w:rsidRPr="00C01BA2" w14:paraId="5BA57B8A" w14:textId="77777777" w:rsidTr="000C5A6F">
        <w:trPr>
          <w:cantSplit/>
        </w:trPr>
        <w:tc>
          <w:tcPr>
            <w:tcW w:w="5265" w:type="dxa"/>
          </w:tcPr>
          <w:p w14:paraId="3CA4950A" w14:textId="4504957E" w:rsidR="006E32D4" w:rsidRPr="00C01BA2" w:rsidRDefault="006E32D4" w:rsidP="00252FD9">
            <w:pPr>
              <w:pStyle w:val="TableDataUnpadded"/>
            </w:pPr>
            <w:r w:rsidRPr="00C01BA2">
              <w:t>Protonix</w:t>
            </w:r>
          </w:p>
        </w:tc>
        <w:tc>
          <w:tcPr>
            <w:tcW w:w="5595" w:type="dxa"/>
          </w:tcPr>
          <w:p w14:paraId="10F68052" w14:textId="02B5F13F" w:rsidR="006E32D4" w:rsidRPr="00C01BA2" w:rsidRDefault="006E32D4" w:rsidP="00252FD9">
            <w:pPr>
              <w:pStyle w:val="TableDataUnpadded"/>
            </w:pPr>
            <w:r w:rsidRPr="00C01BA2">
              <w:t>pantoprazole</w:t>
            </w:r>
          </w:p>
        </w:tc>
      </w:tr>
      <w:tr w:rsidR="006E32D4" w:rsidRPr="00C01BA2" w14:paraId="559B39C8" w14:textId="77777777" w:rsidTr="000C5A6F">
        <w:trPr>
          <w:cantSplit/>
        </w:trPr>
        <w:tc>
          <w:tcPr>
            <w:tcW w:w="5265" w:type="dxa"/>
          </w:tcPr>
          <w:p w14:paraId="76320F71" w14:textId="69AF8945" w:rsidR="006E32D4" w:rsidRPr="00C01BA2" w:rsidRDefault="006E32D4" w:rsidP="00252FD9">
            <w:pPr>
              <w:pStyle w:val="TableDataUnpadded"/>
            </w:pPr>
            <w:r w:rsidRPr="00C01BA2">
              <w:t>Zegerid</w:t>
            </w:r>
          </w:p>
        </w:tc>
        <w:tc>
          <w:tcPr>
            <w:tcW w:w="5595" w:type="dxa"/>
          </w:tcPr>
          <w:p w14:paraId="79874627" w14:textId="6761C4EE" w:rsidR="006E32D4" w:rsidRPr="00C01BA2" w:rsidRDefault="006E32D4" w:rsidP="00252FD9">
            <w:pPr>
              <w:pStyle w:val="TableDataUnpadded"/>
            </w:pPr>
            <w:r w:rsidRPr="00C01BA2">
              <w:t>omeprazole/sodium bicarbonate</w:t>
            </w:r>
          </w:p>
        </w:tc>
      </w:tr>
    </w:tbl>
    <w:bookmarkEnd w:id="0"/>
    <w:p w14:paraId="3DE99DD3" w14:textId="77777777" w:rsidR="00231603" w:rsidRPr="00C56367" w:rsidRDefault="00231603" w:rsidP="00231603">
      <w:pPr>
        <w:pStyle w:val="Heading2"/>
        <w:keepNext w:val="0"/>
        <w:widowControl w:val="0"/>
      </w:pPr>
      <w:r>
        <w:t>Indications</w:t>
      </w:r>
    </w:p>
    <w:p w14:paraId="134B5687" w14:textId="69DA67F0" w:rsidR="00ED052F" w:rsidRDefault="00ED052F" w:rsidP="00231603">
      <w:pPr>
        <w:pStyle w:val="Heading3"/>
      </w:pPr>
      <w:r w:rsidRPr="00C01BA2">
        <w:t>FDA-</w:t>
      </w:r>
      <w:r w:rsidR="0014744D">
        <w:t>a</w:t>
      </w:r>
      <w:r w:rsidRPr="00C01BA2">
        <w:t>pproved Indications</w:t>
      </w:r>
    </w:p>
    <w:p w14:paraId="1755DC59" w14:textId="1A451AED" w:rsidR="009C528F" w:rsidRPr="009C528F" w:rsidRDefault="00667F2B" w:rsidP="006A5E19">
      <w:pPr>
        <w:pStyle w:val="BodyText"/>
      </w:pPr>
      <w:r>
        <w:t xml:space="preserve">For </w:t>
      </w:r>
      <w:r w:rsidR="006E19A7" w:rsidRPr="006E19A7">
        <w:t>Helicobacter pylori eradication to reduce the risk of ulcer recurrence</w:t>
      </w:r>
      <w:r w:rsidR="006D5EF3">
        <w:t>, t</w:t>
      </w:r>
      <w:r w:rsidR="009C528F" w:rsidRPr="009C528F">
        <w:t>he PPI is used in conjunction with antibiotics.</w:t>
      </w:r>
    </w:p>
    <w:tbl>
      <w:tblPr>
        <w:tblW w:w="5000" w:type="pct"/>
        <w:jc w:val="righ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1012"/>
        <w:gridCol w:w="1010"/>
        <w:gridCol w:w="1046"/>
        <w:gridCol w:w="1190"/>
        <w:gridCol w:w="1106"/>
        <w:gridCol w:w="1022"/>
        <w:gridCol w:w="1175"/>
        <w:gridCol w:w="952"/>
        <w:gridCol w:w="1153"/>
      </w:tblGrid>
      <w:tr w:rsidR="002A3264" w:rsidRPr="00C01BA2" w14:paraId="0956BDC0" w14:textId="77777777" w:rsidTr="00FE1924">
        <w:trPr>
          <w:tblHeader/>
          <w:jc w:val="right"/>
        </w:trPr>
        <w:tc>
          <w:tcPr>
            <w:tcW w:w="500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B5DA457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Indication</w:t>
            </w:r>
          </w:p>
        </w:tc>
        <w:tc>
          <w:tcPr>
            <w:tcW w:w="471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768CB9" w14:textId="77777777" w:rsidR="006E32D4" w:rsidRPr="00C01BA2" w:rsidRDefault="006E32D4" w:rsidP="002A3264">
            <w:pPr>
              <w:pStyle w:val="TableHeader"/>
              <w:spacing w:after="0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AcipHex</w:t>
            </w:r>
          </w:p>
          <w:p w14:paraId="436D9A7D" w14:textId="0982825D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(rabeprazole)</w:t>
            </w:r>
          </w:p>
        </w:tc>
        <w:tc>
          <w:tcPr>
            <w:tcW w:w="470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ECC7D6F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AcipHex Sprinkles (rabeprazole)</w:t>
            </w:r>
          </w:p>
        </w:tc>
        <w:tc>
          <w:tcPr>
            <w:tcW w:w="487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5F4E4DD" w14:textId="77777777" w:rsidR="006E32D4" w:rsidRPr="00C01BA2" w:rsidRDefault="006E32D4" w:rsidP="00231603">
            <w:pPr>
              <w:pStyle w:val="TableHeader"/>
              <w:spacing w:after="0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Dexilant</w:t>
            </w:r>
          </w:p>
          <w:p w14:paraId="7EFCCE72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(dexlansoprazole)</w:t>
            </w:r>
          </w:p>
        </w:tc>
        <w:tc>
          <w:tcPr>
            <w:tcW w:w="554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388D54A" w14:textId="77777777" w:rsidR="006E32D4" w:rsidRPr="00C01BA2" w:rsidRDefault="006E32D4" w:rsidP="00231603">
            <w:pPr>
              <w:pStyle w:val="TableHeader"/>
              <w:spacing w:after="0"/>
              <w:rPr>
                <w:sz w:val="16"/>
                <w:szCs w:val="16"/>
              </w:rPr>
            </w:pPr>
            <w:proofErr w:type="spellStart"/>
            <w:r w:rsidRPr="00C01BA2">
              <w:rPr>
                <w:sz w:val="16"/>
                <w:szCs w:val="16"/>
              </w:rPr>
              <w:t>Konvomep</w:t>
            </w:r>
            <w:proofErr w:type="spellEnd"/>
          </w:p>
          <w:p w14:paraId="736B44AE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(omeprazole/ sodium bicarbonate)</w:t>
            </w:r>
          </w:p>
        </w:tc>
        <w:tc>
          <w:tcPr>
            <w:tcW w:w="515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536CE61" w14:textId="77777777" w:rsidR="006E32D4" w:rsidRPr="00C01BA2" w:rsidRDefault="006E32D4" w:rsidP="002A3264">
            <w:pPr>
              <w:pStyle w:val="TableHeader"/>
              <w:spacing w:after="0"/>
              <w:rPr>
                <w:sz w:val="16"/>
                <w:szCs w:val="16"/>
                <w:vertAlign w:val="superscript"/>
              </w:rPr>
            </w:pPr>
            <w:r w:rsidRPr="00C01BA2">
              <w:rPr>
                <w:sz w:val="16"/>
                <w:szCs w:val="16"/>
              </w:rPr>
              <w:t>Nexium</w:t>
            </w:r>
          </w:p>
          <w:p w14:paraId="52985327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(esomeprazole)</w:t>
            </w:r>
          </w:p>
        </w:tc>
        <w:tc>
          <w:tcPr>
            <w:tcW w:w="476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8BAD902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Prevacid (lansoprazole)</w:t>
            </w:r>
          </w:p>
        </w:tc>
        <w:tc>
          <w:tcPr>
            <w:tcW w:w="547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323F365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Prilosec (omeprazole)</w:t>
            </w:r>
          </w:p>
        </w:tc>
        <w:tc>
          <w:tcPr>
            <w:tcW w:w="443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53D6972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Protonix (pantoprazole)</w:t>
            </w:r>
          </w:p>
        </w:tc>
        <w:tc>
          <w:tcPr>
            <w:tcW w:w="537" w:type="pct"/>
            <w:tcBorders>
              <w:top w:val="single" w:sz="24" w:space="0" w:color="auto"/>
              <w:bottom w:val="single" w:sz="6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00308B6" w14:textId="77777777" w:rsidR="006E32D4" w:rsidRPr="00C01BA2" w:rsidRDefault="006E32D4" w:rsidP="00231603">
            <w:pPr>
              <w:pStyle w:val="TableHeader"/>
              <w:spacing w:after="0"/>
              <w:rPr>
                <w:sz w:val="16"/>
                <w:szCs w:val="16"/>
                <w:vertAlign w:val="superscript"/>
              </w:rPr>
            </w:pPr>
            <w:r w:rsidRPr="00C01BA2">
              <w:rPr>
                <w:sz w:val="16"/>
                <w:szCs w:val="16"/>
              </w:rPr>
              <w:t>Zegerid</w:t>
            </w:r>
          </w:p>
          <w:p w14:paraId="6F722733" w14:textId="77777777" w:rsidR="006E32D4" w:rsidRPr="00C01BA2" w:rsidRDefault="006E32D4" w:rsidP="006E32D4">
            <w:pPr>
              <w:pStyle w:val="TableHeader"/>
              <w:rPr>
                <w:sz w:val="16"/>
                <w:szCs w:val="16"/>
              </w:rPr>
            </w:pPr>
            <w:bookmarkStart w:id="1" w:name="OLE_LINK7"/>
            <w:r w:rsidRPr="00C01BA2">
              <w:rPr>
                <w:sz w:val="16"/>
                <w:szCs w:val="16"/>
              </w:rPr>
              <w:t>(omeprazole/ sodium bicarbonate)</w:t>
            </w:r>
            <w:bookmarkEnd w:id="1"/>
          </w:p>
        </w:tc>
      </w:tr>
      <w:tr w:rsidR="002A3264" w:rsidRPr="00C01BA2" w14:paraId="6A437771" w14:textId="77777777" w:rsidTr="00FE1924">
        <w:trPr>
          <w:jc w:val="right"/>
        </w:trPr>
        <w:tc>
          <w:tcPr>
            <w:tcW w:w="500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hideMark/>
          </w:tcPr>
          <w:p w14:paraId="5FBA29B8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 xml:space="preserve">Short-term treatment of active </w:t>
            </w:r>
            <w:r w:rsidRPr="00C01BA2">
              <w:rPr>
                <w:sz w:val="16"/>
                <w:szCs w:val="16"/>
              </w:rPr>
              <w:lastRenderedPageBreak/>
              <w:t>duodenal ulcer</w:t>
            </w:r>
          </w:p>
        </w:tc>
        <w:tc>
          <w:tcPr>
            <w:tcW w:w="471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hideMark/>
          </w:tcPr>
          <w:p w14:paraId="03DF4FD0" w14:textId="52AE91D3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lastRenderedPageBreak/>
              <w:sym w:font="Wingdings" w:char="F0FC"/>
            </w:r>
          </w:p>
        </w:tc>
        <w:tc>
          <w:tcPr>
            <w:tcW w:w="470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</w:tcPr>
          <w:p w14:paraId="29059B7B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</w:tcPr>
          <w:p w14:paraId="572A8B02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54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</w:tcPr>
          <w:p w14:paraId="1623B6F4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</w:tcPr>
          <w:p w14:paraId="732E5F57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6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hideMark/>
          </w:tcPr>
          <w:p w14:paraId="550C8F5B" w14:textId="6959D2A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  <w:r w:rsidRPr="00C01BA2">
              <w:rPr>
                <w:rFonts w:eastAsia="Wingdings" w:cs="Wingdings"/>
                <w:sz w:val="16"/>
                <w:szCs w:val="16"/>
              </w:rPr>
              <w:t xml:space="preserve"> </w:t>
            </w:r>
          </w:p>
        </w:tc>
        <w:tc>
          <w:tcPr>
            <w:tcW w:w="547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hideMark/>
          </w:tcPr>
          <w:p w14:paraId="5DE46E8C" w14:textId="7AA8C71A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</w:tcPr>
          <w:p w14:paraId="1F71DE8F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6" w:space="0" w:color="auto"/>
            </w:tcBorders>
            <w:tcMar>
              <w:left w:w="57" w:type="dxa"/>
              <w:right w:w="57" w:type="dxa"/>
            </w:tcMar>
            <w:hideMark/>
          </w:tcPr>
          <w:p w14:paraId="6E73C46D" w14:textId="4488B5B8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</w:tr>
      <w:tr w:rsidR="002A3264" w:rsidRPr="00C01BA2" w14:paraId="12BFC46A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394A0EFB" w14:textId="78D0292B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Helicobacter pylori eradication to reduce the risk of ulcer recurrence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  <w:hideMark/>
          </w:tcPr>
          <w:p w14:paraId="692D805C" w14:textId="08CDF7F6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11A226B6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14B3CD11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50CEBA73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25D3AD3D" w14:textId="61D84B3A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44A9C05F" w14:textId="07431BA8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3F45D3BB" w14:textId="257EA363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74D870E4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</w:tcPr>
          <w:p w14:paraId="2E6FD15E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A3264" w:rsidRPr="00C01BA2" w14:paraId="6DE77A8E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61DED200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Maintenance of healing of duodenal ulcers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</w:tcPr>
          <w:p w14:paraId="3C2B2C62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5F527208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78ED9337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4D359DEA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</w:tcPr>
          <w:p w14:paraId="1CF7FA71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704F921F" w14:textId="34AA4FF9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</w:tcPr>
          <w:p w14:paraId="37A59DA2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679D18C1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</w:tcPr>
          <w:p w14:paraId="10CB9A34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A3264" w:rsidRPr="00C01BA2" w14:paraId="394E60ED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6455863B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Short-term treatment of gastric ulcer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</w:tcPr>
          <w:p w14:paraId="400B6DF5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118638C2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653C1B67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  <w:hideMark/>
          </w:tcPr>
          <w:p w14:paraId="4DF42FB6" w14:textId="01F5D517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515" w:type="pct"/>
            <w:tcMar>
              <w:left w:w="57" w:type="dxa"/>
              <w:right w:w="57" w:type="dxa"/>
            </w:tcMar>
          </w:tcPr>
          <w:p w14:paraId="2BD7252C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77B9CA78" w14:textId="7F160A20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2D99545B" w14:textId="47EA3FAC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6E45FD26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  <w:hideMark/>
          </w:tcPr>
          <w:p w14:paraId="0E0D8FB2" w14:textId="36D1C4E3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</w:tr>
      <w:tr w:rsidR="002A3264" w:rsidRPr="00C01BA2" w14:paraId="1C812E3B" w14:textId="77777777" w:rsidTr="002A3264">
        <w:trPr>
          <w:trHeight w:val="372"/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0EE945F5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Short-term treatment of symptoms associated with GERD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  <w:hideMark/>
          </w:tcPr>
          <w:p w14:paraId="262D8406" w14:textId="36D8890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0" w:type="pct"/>
            <w:tcMar>
              <w:left w:w="57" w:type="dxa"/>
              <w:right w:w="57" w:type="dxa"/>
            </w:tcMar>
            <w:hideMark/>
          </w:tcPr>
          <w:p w14:paraId="3B2EA09D" w14:textId="59B15BB5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487" w:type="pct"/>
            <w:tcMar>
              <w:left w:w="57" w:type="dxa"/>
              <w:right w:w="57" w:type="dxa"/>
            </w:tcMar>
            <w:hideMark/>
          </w:tcPr>
          <w:p w14:paraId="06D476FD" w14:textId="2515E118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1FE5741F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40A4832E" w14:textId="68463275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02496537" w14:textId="6A8A3CB5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54BC98DD" w14:textId="6CA4F8EA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hideMark/>
          </w:tcPr>
          <w:p w14:paraId="624144BB" w14:textId="1D13B1DE" w:rsidR="006E32D4" w:rsidRPr="00C01BA2" w:rsidRDefault="00C01BA2">
            <w:pPr>
              <w:ind w:right="-18"/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37" w:type="pct"/>
            <w:tcMar>
              <w:left w:w="57" w:type="dxa"/>
              <w:right w:w="57" w:type="dxa"/>
            </w:tcMar>
            <w:hideMark/>
          </w:tcPr>
          <w:p w14:paraId="7CF6A0BB" w14:textId="48D2823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</w:tr>
      <w:tr w:rsidR="002A3264" w:rsidRPr="00C01BA2" w14:paraId="79DC156A" w14:textId="77777777" w:rsidTr="002A3264">
        <w:trPr>
          <w:trHeight w:val="597"/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22D7507F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Short-term treatment of erosive esophagitis / GERD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  <w:hideMark/>
          </w:tcPr>
          <w:p w14:paraId="3937E16B" w14:textId="3681A543" w:rsidR="006E32D4" w:rsidRPr="00C01BA2" w:rsidRDefault="00C01BA2">
            <w:pPr>
              <w:ind w:right="-18"/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2FCF9213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  <w:hideMark/>
          </w:tcPr>
          <w:p w14:paraId="4923B253" w14:textId="6A8D1D2E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797D08AB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4CC28540" w14:textId="76FD231C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5D7ECF46" w14:textId="6F7CC492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64E2A744" w14:textId="5D2FCD6A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hideMark/>
          </w:tcPr>
          <w:p w14:paraId="6637B8B0" w14:textId="780F2B6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37" w:type="pct"/>
            <w:tcMar>
              <w:left w:w="57" w:type="dxa"/>
              <w:right w:w="57" w:type="dxa"/>
            </w:tcMar>
            <w:hideMark/>
          </w:tcPr>
          <w:p w14:paraId="02B521BE" w14:textId="625AA2EE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</w:tr>
      <w:tr w:rsidR="002A3264" w:rsidRPr="00C01BA2" w14:paraId="735BF467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0B2E87D6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Maintenance healing of erosive esophagitis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  <w:hideMark/>
          </w:tcPr>
          <w:p w14:paraId="131DDEC2" w14:textId="795B27E9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7BF76CEC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  <w:hideMark/>
          </w:tcPr>
          <w:p w14:paraId="5E1A9FA1" w14:textId="5BECB0B4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3E6AD41B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2357E9E0" w14:textId="4FAF8AAD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7EB3F696" w14:textId="27943E5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5907CBE1" w14:textId="2C31F65E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hideMark/>
          </w:tcPr>
          <w:p w14:paraId="1B256C74" w14:textId="18655168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37" w:type="pct"/>
            <w:tcMar>
              <w:left w:w="57" w:type="dxa"/>
              <w:right w:w="57" w:type="dxa"/>
            </w:tcMar>
            <w:hideMark/>
          </w:tcPr>
          <w:p w14:paraId="05BE5F55" w14:textId="53C16BB9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</w:tr>
      <w:tr w:rsidR="002A3264" w:rsidRPr="00C01BA2" w14:paraId="22A496E2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29BBF9EC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Pathological hypersecretory conditions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  <w:hideMark/>
          </w:tcPr>
          <w:p w14:paraId="2B6F98CB" w14:textId="3EB6F06A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73457737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4AFB6028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28A4BD04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52F41E2A" w14:textId="15F6A4D0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7A3617AE" w14:textId="4850FD57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  <w:hideMark/>
          </w:tcPr>
          <w:p w14:paraId="08377A08" w14:textId="7FA42D1D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43" w:type="pct"/>
            <w:tcMar>
              <w:left w:w="57" w:type="dxa"/>
              <w:right w:w="57" w:type="dxa"/>
            </w:tcMar>
            <w:hideMark/>
          </w:tcPr>
          <w:p w14:paraId="53513648" w14:textId="2D79CFBD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37" w:type="pct"/>
            <w:tcMar>
              <w:left w:w="57" w:type="dxa"/>
              <w:right w:w="57" w:type="dxa"/>
            </w:tcMar>
          </w:tcPr>
          <w:p w14:paraId="6D9C5CE4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A3264" w:rsidRPr="00C01BA2" w14:paraId="135E4616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1F3D1FEA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Short-term treatment of NSAID-associated gastric ulcer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</w:tcPr>
          <w:p w14:paraId="06FE1640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5CA8383D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3C8275B2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73E9F8F7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</w:tcPr>
          <w:p w14:paraId="72010A9F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2D016F5F" w14:textId="23028745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</w:tcPr>
          <w:p w14:paraId="2B1A61DC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2E29004D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</w:tcPr>
          <w:p w14:paraId="75FD5978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A3264" w:rsidRPr="00C01BA2" w14:paraId="006F08AC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22B36647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Risk reduction of NSAID-associated gastric ulcer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</w:tcPr>
          <w:p w14:paraId="576772AE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36A76297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4E7E0B7A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</w:tcPr>
          <w:p w14:paraId="548B323E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15" w:type="pct"/>
            <w:tcMar>
              <w:left w:w="57" w:type="dxa"/>
              <w:right w:w="57" w:type="dxa"/>
            </w:tcMar>
            <w:hideMark/>
          </w:tcPr>
          <w:p w14:paraId="7B135614" w14:textId="34DE8F16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476" w:type="pct"/>
            <w:tcMar>
              <w:left w:w="57" w:type="dxa"/>
              <w:right w:w="57" w:type="dxa"/>
            </w:tcMar>
            <w:hideMark/>
          </w:tcPr>
          <w:p w14:paraId="2FDA2A23" w14:textId="3FC1186E" w:rsidR="006E32D4" w:rsidRPr="00C01BA2" w:rsidRDefault="00C01BA2">
            <w:pPr>
              <w:jc w:val="center"/>
              <w:rPr>
                <w:rFonts w:cs="Arial"/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</w:tc>
        <w:tc>
          <w:tcPr>
            <w:tcW w:w="547" w:type="pct"/>
            <w:tcMar>
              <w:left w:w="57" w:type="dxa"/>
              <w:right w:w="57" w:type="dxa"/>
            </w:tcMar>
          </w:tcPr>
          <w:p w14:paraId="5F8F57B4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1924902D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</w:tcPr>
          <w:p w14:paraId="2ABBC486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A3264" w:rsidRPr="00C01BA2" w14:paraId="69038738" w14:textId="77777777" w:rsidTr="002A3264">
        <w:trPr>
          <w:jc w:val="right"/>
        </w:trPr>
        <w:tc>
          <w:tcPr>
            <w:tcW w:w="500" w:type="pct"/>
            <w:tcMar>
              <w:left w:w="57" w:type="dxa"/>
              <w:right w:w="57" w:type="dxa"/>
            </w:tcMar>
            <w:hideMark/>
          </w:tcPr>
          <w:p w14:paraId="3EAC669B" w14:textId="77777777" w:rsidR="006E32D4" w:rsidRPr="00C01BA2" w:rsidRDefault="006E32D4" w:rsidP="006E32D4">
            <w:pPr>
              <w:pStyle w:val="TableDataUnpadded"/>
              <w:rPr>
                <w:sz w:val="16"/>
                <w:szCs w:val="16"/>
              </w:rPr>
            </w:pPr>
            <w:r w:rsidRPr="00C01BA2">
              <w:rPr>
                <w:bCs/>
                <w:sz w:val="16"/>
                <w:szCs w:val="16"/>
              </w:rPr>
              <w:t>Risk reduction of upper GI bleeding in critically ill patients</w:t>
            </w:r>
          </w:p>
        </w:tc>
        <w:tc>
          <w:tcPr>
            <w:tcW w:w="471" w:type="pct"/>
            <w:tcMar>
              <w:left w:w="57" w:type="dxa"/>
              <w:right w:w="57" w:type="dxa"/>
            </w:tcMar>
          </w:tcPr>
          <w:p w14:paraId="76E92405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0" w:type="pct"/>
            <w:tcMar>
              <w:left w:w="57" w:type="dxa"/>
              <w:right w:w="57" w:type="dxa"/>
            </w:tcMar>
          </w:tcPr>
          <w:p w14:paraId="6917C5B5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487" w:type="pct"/>
            <w:tcMar>
              <w:left w:w="57" w:type="dxa"/>
              <w:right w:w="57" w:type="dxa"/>
            </w:tcMar>
          </w:tcPr>
          <w:p w14:paraId="50088E30" w14:textId="77777777" w:rsidR="006E32D4" w:rsidRPr="00C01BA2" w:rsidRDefault="006E32D4" w:rsidP="00BE7072">
            <w:pPr>
              <w:pStyle w:val="FormularyTableData"/>
            </w:pPr>
          </w:p>
        </w:tc>
        <w:tc>
          <w:tcPr>
            <w:tcW w:w="554" w:type="pct"/>
            <w:tcMar>
              <w:left w:w="57" w:type="dxa"/>
              <w:right w:w="57" w:type="dxa"/>
            </w:tcMar>
            <w:hideMark/>
          </w:tcPr>
          <w:p w14:paraId="7343B4AE" w14:textId="4E5F6C88" w:rsidR="006E32D4" w:rsidRPr="00C01BA2" w:rsidRDefault="00C01BA2" w:rsidP="00BE7072">
            <w:pPr>
              <w:pStyle w:val="FormularyTableData"/>
            </w:pPr>
            <w:r w:rsidRPr="00C01BA2">
              <w:sym w:font="Wingdings" w:char="F0FC"/>
            </w:r>
          </w:p>
        </w:tc>
        <w:tc>
          <w:tcPr>
            <w:tcW w:w="515" w:type="pct"/>
            <w:tcMar>
              <w:left w:w="57" w:type="dxa"/>
              <w:right w:w="57" w:type="dxa"/>
            </w:tcMar>
          </w:tcPr>
          <w:p w14:paraId="077770F9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76" w:type="pct"/>
            <w:tcMar>
              <w:left w:w="57" w:type="dxa"/>
              <w:right w:w="57" w:type="dxa"/>
            </w:tcMar>
          </w:tcPr>
          <w:p w14:paraId="0C35BA61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47" w:type="pct"/>
            <w:tcMar>
              <w:left w:w="57" w:type="dxa"/>
              <w:right w:w="57" w:type="dxa"/>
            </w:tcMar>
          </w:tcPr>
          <w:p w14:paraId="043BDE61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43" w:type="pct"/>
            <w:tcMar>
              <w:left w:w="57" w:type="dxa"/>
              <w:right w:w="57" w:type="dxa"/>
            </w:tcMar>
          </w:tcPr>
          <w:p w14:paraId="07CED921" w14:textId="77777777" w:rsidR="006E32D4" w:rsidRPr="00C01BA2" w:rsidRDefault="006E32D4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537" w:type="pct"/>
            <w:tcMar>
              <w:left w:w="57" w:type="dxa"/>
              <w:right w:w="57" w:type="dxa"/>
            </w:tcMar>
            <w:hideMark/>
          </w:tcPr>
          <w:p w14:paraId="2B9090ED" w14:textId="77777777" w:rsidR="00C01BA2" w:rsidRPr="00C01BA2" w:rsidRDefault="00C01BA2" w:rsidP="006B7A72">
            <w:pPr>
              <w:pStyle w:val="BodyText"/>
              <w:spacing w:after="0"/>
              <w:jc w:val="center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sym w:font="Wingdings" w:char="F0FC"/>
            </w:r>
          </w:p>
          <w:p w14:paraId="4AF9B78D" w14:textId="2BBDCDE5" w:rsidR="006E32D4" w:rsidRPr="00C01BA2" w:rsidRDefault="006E32D4" w:rsidP="00BE7072">
            <w:pPr>
              <w:pStyle w:val="BodyText"/>
              <w:rPr>
                <w:sz w:val="16"/>
                <w:szCs w:val="16"/>
              </w:rPr>
            </w:pPr>
            <w:r w:rsidRPr="00C01BA2">
              <w:rPr>
                <w:sz w:val="16"/>
                <w:szCs w:val="16"/>
              </w:rPr>
              <w:t>Suspension</w:t>
            </w:r>
          </w:p>
        </w:tc>
      </w:tr>
    </w:tbl>
    <w:p w14:paraId="50A38FBA" w14:textId="33B730DE" w:rsidR="00FE0C63" w:rsidRPr="00C01BA2" w:rsidRDefault="00685107" w:rsidP="00E050E1">
      <w:pPr>
        <w:pStyle w:val="Heading2"/>
      </w:pPr>
      <w:r w:rsidRPr="00C01BA2">
        <w:lastRenderedPageBreak/>
        <w:t>Coverage Criteria</w:t>
      </w:r>
    </w:p>
    <w:p w14:paraId="098E8F27" w14:textId="2DD9552F" w:rsidR="00FE0C63" w:rsidRPr="00252FD9" w:rsidRDefault="00BE7072" w:rsidP="00681812">
      <w:pPr>
        <w:pStyle w:val="BodyText"/>
      </w:pPr>
      <w:r w:rsidRPr="00C01BA2">
        <w:t>Authorization may be granted for the requested drug when ONE of the following criteria are met</w:t>
      </w:r>
      <w:r w:rsidR="00FE0C63" w:rsidRPr="00C01BA2">
        <w:t>:</w:t>
      </w:r>
    </w:p>
    <w:p w14:paraId="358BC394" w14:textId="2BD3387D" w:rsidR="00BE7072" w:rsidRPr="00681812" w:rsidRDefault="00BE7072" w:rsidP="00681812">
      <w:pPr>
        <w:pStyle w:val="ListParagraph"/>
        <w:numPr>
          <w:ilvl w:val="0"/>
          <w:numId w:val="30"/>
        </w:numPr>
      </w:pPr>
      <w:r w:rsidRPr="00681812">
        <w:t>The requested drug is being prescribed for ANY of the following</w:t>
      </w:r>
    </w:p>
    <w:p w14:paraId="41229F0B" w14:textId="64DF8F21" w:rsidR="00BE7072" w:rsidRPr="00681812" w:rsidRDefault="00BE7072" w:rsidP="00681812">
      <w:pPr>
        <w:pStyle w:val="ListParagraph"/>
        <w:numPr>
          <w:ilvl w:val="1"/>
          <w:numId w:val="31"/>
        </w:numPr>
      </w:pPr>
      <w:r w:rsidRPr="00681812">
        <w:t>Barrett’s esophagus as confirmed by biopsy</w:t>
      </w:r>
      <w:r w:rsidR="00706F00">
        <w:t>.</w:t>
      </w:r>
    </w:p>
    <w:p w14:paraId="683C4980" w14:textId="77777777" w:rsidR="00BE7072" w:rsidRPr="00681812" w:rsidRDefault="00BE7072" w:rsidP="00681812">
      <w:pPr>
        <w:pStyle w:val="ListParagraph"/>
        <w:numPr>
          <w:ilvl w:val="1"/>
          <w:numId w:val="31"/>
        </w:numPr>
      </w:pPr>
      <w:r w:rsidRPr="00681812">
        <w:t>Hypersecretory syndrome, such as Zollinger-Ellison, confirmed with a diagnostic test</w:t>
      </w:r>
    </w:p>
    <w:p w14:paraId="6BDCB1E7" w14:textId="12310C8C" w:rsidR="00BE7072" w:rsidRPr="00681812" w:rsidRDefault="00BE7072" w:rsidP="00681812">
      <w:pPr>
        <w:pStyle w:val="ListParagraph"/>
        <w:numPr>
          <w:ilvl w:val="1"/>
          <w:numId w:val="31"/>
        </w:numPr>
      </w:pPr>
      <w:r w:rsidRPr="00681812">
        <w:t>Endoscopically verified peptic ulcer disease</w:t>
      </w:r>
      <w:r w:rsidR="00706F00">
        <w:t>.</w:t>
      </w:r>
    </w:p>
    <w:p w14:paraId="0CA1D52B" w14:textId="77CB5300" w:rsidR="00BE7072" w:rsidRPr="00681812" w:rsidRDefault="00BE7072" w:rsidP="00681812">
      <w:pPr>
        <w:pStyle w:val="ListParagraph"/>
        <w:numPr>
          <w:ilvl w:val="1"/>
          <w:numId w:val="31"/>
        </w:numPr>
      </w:pPr>
      <w:r w:rsidRPr="00681812">
        <w:t>Frequent and severe symptoms of chronic gastroesophageal reflux disease (GERD)</w:t>
      </w:r>
      <w:r w:rsidR="00706F00">
        <w:t>.</w:t>
      </w:r>
    </w:p>
    <w:p w14:paraId="377B9BFA" w14:textId="5512B572" w:rsidR="00BE7072" w:rsidRPr="00681812" w:rsidRDefault="00BE7072" w:rsidP="00681812">
      <w:pPr>
        <w:pStyle w:val="ListParagraph"/>
        <w:numPr>
          <w:ilvl w:val="1"/>
          <w:numId w:val="31"/>
        </w:numPr>
      </w:pPr>
      <w:r w:rsidRPr="00681812">
        <w:t>Atypical symptoms or complications of GERD (i.e., maintenance of healing of erosive esophagitis, maintenance of healing of duodenal ulcers)</w:t>
      </w:r>
      <w:r w:rsidR="00706F00">
        <w:t>.</w:t>
      </w:r>
    </w:p>
    <w:p w14:paraId="391CCDEB" w14:textId="4E3EB28B" w:rsidR="00BE7072" w:rsidRPr="00681812" w:rsidRDefault="00BE7072" w:rsidP="00681812">
      <w:pPr>
        <w:pStyle w:val="ListParagraph"/>
        <w:numPr>
          <w:ilvl w:val="0"/>
          <w:numId w:val="30"/>
        </w:numPr>
      </w:pPr>
      <w:r w:rsidRPr="00681812">
        <w:t>The patient is at high risk for gastrointestinal (GI) adverse events</w:t>
      </w:r>
      <w:r w:rsidR="00D0152F">
        <w:t>.</w:t>
      </w:r>
      <w:r w:rsidRPr="00681812">
        <w:t xml:space="preserve"> [NOTE: Risk factors for serious GI adverse events include, but are not limited to, the following: </w:t>
      </w:r>
      <w:r w:rsidR="004A4361" w:rsidRPr="004A4361">
        <w:t>eosinophilic esophagitis,</w:t>
      </w:r>
      <w:r w:rsidR="00616737">
        <w:t xml:space="preserve"> </w:t>
      </w:r>
      <w:r w:rsidRPr="00681812">
        <w:t>chronic nonsteroidal anti-inflammatory drug (NSAID) therapy, history of peptic ulcer disease and/or GI bleeding, treatment with oral corticosteroids, treatment with anticoagulants, poor general health status, or advanced age.]</w:t>
      </w:r>
    </w:p>
    <w:p w14:paraId="1F387316" w14:textId="561EF4FA" w:rsidR="00183B46" w:rsidRPr="00C01BA2" w:rsidRDefault="00183B46" w:rsidP="00183B46">
      <w:pPr>
        <w:pStyle w:val="Heading2"/>
      </w:pPr>
      <w:r w:rsidRPr="00C01BA2">
        <w:t>Duration of Approval (DOA)</w:t>
      </w:r>
    </w:p>
    <w:p w14:paraId="6427D6A8" w14:textId="77777777" w:rsidR="00BE7072" w:rsidRPr="00681812" w:rsidRDefault="00BE7072" w:rsidP="00681812">
      <w:pPr>
        <w:pStyle w:val="ListParagraph"/>
        <w:numPr>
          <w:ilvl w:val="0"/>
          <w:numId w:val="33"/>
        </w:numPr>
      </w:pPr>
      <w:r w:rsidRPr="00681812">
        <w:t>169-J:</w:t>
      </w:r>
    </w:p>
    <w:p w14:paraId="28C84DA3" w14:textId="77777777" w:rsidR="00BE7072" w:rsidRPr="00681812" w:rsidRDefault="00BE7072" w:rsidP="00681812">
      <w:pPr>
        <w:pStyle w:val="ListParagraph"/>
        <w:numPr>
          <w:ilvl w:val="1"/>
          <w:numId w:val="34"/>
        </w:numPr>
      </w:pPr>
      <w:r w:rsidRPr="00681812">
        <w:t>Barrett’s esophagus as confirmed by biopsy OR Hypersecretory syndrome, such as Zollinger-Ellison, confirmed with a diagnostic test: DOA: Indefinite/Lifetime</w:t>
      </w:r>
    </w:p>
    <w:p w14:paraId="275723F5" w14:textId="77777777" w:rsidR="00BE7072" w:rsidRPr="00681812" w:rsidRDefault="00BE7072" w:rsidP="00681812">
      <w:pPr>
        <w:pStyle w:val="ListParagraph"/>
        <w:numPr>
          <w:ilvl w:val="1"/>
          <w:numId w:val="34"/>
        </w:numPr>
      </w:pPr>
      <w:r w:rsidRPr="00681812">
        <w:t>Endoscopically verified peptic ulcer disease, Frequent and severe symptoms of chronic gastroesophageal reflux disease (GERD), Atypical symptoms or complications of GERD, Eosinophilic esophagitis, High risk for GI adverse events: DOA: 36 months</w:t>
      </w:r>
    </w:p>
    <w:p w14:paraId="18931FE4" w14:textId="77777777" w:rsidR="00BE7072" w:rsidRPr="00681812" w:rsidRDefault="00BE7072" w:rsidP="00681812">
      <w:pPr>
        <w:pStyle w:val="ListParagraph"/>
        <w:numPr>
          <w:ilvl w:val="0"/>
          <w:numId w:val="33"/>
        </w:numPr>
      </w:pPr>
      <w:r w:rsidRPr="00681812">
        <w:t>MMT 918-J:</w:t>
      </w:r>
    </w:p>
    <w:p w14:paraId="1519AB90" w14:textId="01A8BDFB" w:rsidR="00BE7072" w:rsidRPr="00681812" w:rsidRDefault="00BE7072" w:rsidP="00681812">
      <w:pPr>
        <w:pStyle w:val="ListParagraph"/>
        <w:numPr>
          <w:ilvl w:val="1"/>
          <w:numId w:val="35"/>
        </w:numPr>
      </w:pPr>
      <w:r w:rsidRPr="00681812">
        <w:t>Barrett’s esophagus as confirmed by biopsy OR Hypersecretory syndrome, such as Zollinger-Ellison, confirmed with a diagnostic test: DOA: Indefinite/Lifetime</w:t>
      </w:r>
    </w:p>
    <w:p w14:paraId="3FD6C56B" w14:textId="18E06FE5" w:rsidR="00BE7072" w:rsidRPr="00681812" w:rsidRDefault="00BE7072" w:rsidP="00681812">
      <w:pPr>
        <w:pStyle w:val="ListParagraph"/>
        <w:numPr>
          <w:ilvl w:val="1"/>
          <w:numId w:val="35"/>
        </w:numPr>
      </w:pPr>
      <w:r w:rsidRPr="00681812">
        <w:t>Endoscopically verified peptic ulcer disease, Frequent and severe symptoms of chronic gastroesophageal reflux disease (GERD), Atypical symptoms or complications of GERD, Eosinophilic esophagitis, High risk for GI adverse events: DOA: 12 months</w:t>
      </w:r>
    </w:p>
    <w:p w14:paraId="10DA4309" w14:textId="4B04DC4E" w:rsidR="00FF66BF" w:rsidRPr="00C01BA2" w:rsidRDefault="00FF66BF" w:rsidP="00FF66BF">
      <w:pPr>
        <w:pStyle w:val="Heading2"/>
      </w:pPr>
      <w:r w:rsidRPr="00C01BA2">
        <w:t>References</w:t>
      </w:r>
    </w:p>
    <w:p w14:paraId="071A1BAF" w14:textId="77777777" w:rsidR="00BE7072" w:rsidRPr="00681812" w:rsidRDefault="00BE7072" w:rsidP="00681812">
      <w:pPr>
        <w:pStyle w:val="ReferenceOrdered"/>
      </w:pPr>
      <w:bookmarkStart w:id="2" w:name="OLE_LINK2"/>
      <w:bookmarkStart w:id="3" w:name="OLE_LINK50"/>
      <w:r w:rsidRPr="00681812">
        <w:t xml:space="preserve">Aciphex [package insert]. Wixom, MI: </w:t>
      </w:r>
      <w:proofErr w:type="spellStart"/>
      <w:r w:rsidRPr="00681812">
        <w:t>Waylis</w:t>
      </w:r>
      <w:proofErr w:type="spellEnd"/>
      <w:r w:rsidRPr="00681812">
        <w:t xml:space="preserve"> Therapeutics LLC; July 2023.</w:t>
      </w:r>
    </w:p>
    <w:p w14:paraId="0FA4B815" w14:textId="77777777" w:rsidR="00BE7072" w:rsidRPr="00681812" w:rsidRDefault="00BE7072" w:rsidP="00681812">
      <w:pPr>
        <w:pStyle w:val="ReferenceOrdered"/>
      </w:pPr>
      <w:r w:rsidRPr="00681812">
        <w:t xml:space="preserve">Aciphex Sprinkles [package insert]. Rockville, MD: </w:t>
      </w:r>
      <w:proofErr w:type="spellStart"/>
      <w:r w:rsidRPr="00681812">
        <w:t>Atyu</w:t>
      </w:r>
      <w:proofErr w:type="spellEnd"/>
      <w:r w:rsidRPr="00681812">
        <w:t xml:space="preserve"> Therapeutics, LLC/</w:t>
      </w:r>
      <w:proofErr w:type="spellStart"/>
      <w:r w:rsidRPr="00681812">
        <w:t>Cerecor</w:t>
      </w:r>
      <w:proofErr w:type="spellEnd"/>
      <w:r w:rsidRPr="00681812">
        <w:t>, Inc.; December 2020.</w:t>
      </w:r>
    </w:p>
    <w:p w14:paraId="3D36B740" w14:textId="77777777" w:rsidR="00BE7072" w:rsidRPr="00681812" w:rsidRDefault="00BE7072" w:rsidP="00681812">
      <w:pPr>
        <w:pStyle w:val="ReferenceOrdered"/>
      </w:pPr>
      <w:r w:rsidRPr="00681812">
        <w:t>Dexilant [package insert]. Lexington, MA: Takeda Pharmaceuticals America, Inc.; July 2023.</w:t>
      </w:r>
    </w:p>
    <w:p w14:paraId="7720DFDF" w14:textId="7AD24DC8" w:rsidR="00BE7072" w:rsidRPr="00681812" w:rsidRDefault="00BE7072" w:rsidP="00681812">
      <w:pPr>
        <w:pStyle w:val="ReferenceOrdered"/>
      </w:pPr>
      <w:proofErr w:type="spellStart"/>
      <w:r w:rsidRPr="00681812">
        <w:t>Konvomep</w:t>
      </w:r>
      <w:proofErr w:type="spellEnd"/>
      <w:r w:rsidRPr="00681812">
        <w:t xml:space="preserve"> [package insert]. Woburn, MA: Azurity Pharmaceuticals, Inc.; </w:t>
      </w:r>
      <w:r w:rsidR="008727F9">
        <w:t>April 2024</w:t>
      </w:r>
      <w:r w:rsidRPr="00681812">
        <w:t>.</w:t>
      </w:r>
    </w:p>
    <w:p w14:paraId="4339751C" w14:textId="77777777" w:rsidR="00BE7072" w:rsidRPr="00681812" w:rsidRDefault="00BE7072" w:rsidP="00681812">
      <w:pPr>
        <w:pStyle w:val="ReferenceOrdered"/>
      </w:pPr>
      <w:r w:rsidRPr="00681812">
        <w:t>Nexium [package insert]. Wilmington, DE: AstraZeneca Pharmaceuticals LP; July 2023.</w:t>
      </w:r>
    </w:p>
    <w:p w14:paraId="0E4E79D5" w14:textId="2CBAF084" w:rsidR="00BE7072" w:rsidRPr="00681812" w:rsidRDefault="00BE7072" w:rsidP="00681812">
      <w:pPr>
        <w:pStyle w:val="ReferenceOrdered"/>
      </w:pPr>
      <w:r w:rsidRPr="00681812">
        <w:lastRenderedPageBreak/>
        <w:t>Omeprazole Capsules [package insert]. East Windsor, NJ: Aurobindo Pharma USA, Inc.; April 2023.</w:t>
      </w:r>
    </w:p>
    <w:p w14:paraId="73A49EDE" w14:textId="77777777" w:rsidR="00BE7072" w:rsidRPr="00681812" w:rsidRDefault="00BE7072" w:rsidP="00681812">
      <w:pPr>
        <w:pStyle w:val="ReferenceOrdered"/>
      </w:pPr>
      <w:r w:rsidRPr="00681812">
        <w:t xml:space="preserve">Prevacid, Prevacid </w:t>
      </w:r>
      <w:proofErr w:type="spellStart"/>
      <w:r w:rsidRPr="00681812">
        <w:t>SoluTab</w:t>
      </w:r>
      <w:proofErr w:type="spellEnd"/>
      <w:r w:rsidRPr="00681812">
        <w:t xml:space="preserve"> [package insert]. Lexington, MA: Takeda Pharmaceuticals America, Inc.; August 2023.</w:t>
      </w:r>
    </w:p>
    <w:p w14:paraId="0D6F9739" w14:textId="70FEEB90" w:rsidR="00BE7072" w:rsidRPr="00681812" w:rsidRDefault="00BE7072" w:rsidP="00681812">
      <w:pPr>
        <w:pStyle w:val="ReferenceOrdered"/>
      </w:pPr>
      <w:r w:rsidRPr="00681812">
        <w:t>Prilosec Granules [package insert]. Zug, Switzerland: Covis Pharma; March 202</w:t>
      </w:r>
      <w:r w:rsidR="008727F9">
        <w:t>4</w:t>
      </w:r>
      <w:r w:rsidRPr="00681812">
        <w:t>.</w:t>
      </w:r>
    </w:p>
    <w:p w14:paraId="0D0920D4" w14:textId="77777777" w:rsidR="00BE7072" w:rsidRPr="00681812" w:rsidRDefault="00BE7072" w:rsidP="00681812">
      <w:pPr>
        <w:pStyle w:val="ReferenceOrdered"/>
      </w:pPr>
      <w:r w:rsidRPr="00681812">
        <w:t>Protonix [package insert]. Philadelphia, PA: Wyeth Pharmaceuticals LLC; June 2023.</w:t>
      </w:r>
    </w:p>
    <w:p w14:paraId="323D248E" w14:textId="77777777" w:rsidR="00BE7072" w:rsidRPr="00681812" w:rsidRDefault="00BE7072" w:rsidP="00681812">
      <w:pPr>
        <w:pStyle w:val="ReferenceOrdered"/>
      </w:pPr>
      <w:r w:rsidRPr="00681812">
        <w:t>Zegerid [package insert]. Bridgewater, NJ: Salix Pharmaceuticals; July 2023.</w:t>
      </w:r>
    </w:p>
    <w:p w14:paraId="6EB0369F" w14:textId="02163648" w:rsidR="00BE7072" w:rsidRPr="00681812" w:rsidRDefault="00BE7072" w:rsidP="00681812">
      <w:pPr>
        <w:pStyle w:val="ReferenceOrdered"/>
      </w:pPr>
      <w:r w:rsidRPr="00681812">
        <w:rPr>
          <w:rStyle w:val="normaltextrun"/>
        </w:rPr>
        <w:t>Lexicomp Online, AHFS DI (Adult and Pediatric) Online. Waltham, MA: UpToDate, Inc.; 202</w:t>
      </w:r>
      <w:r w:rsidR="00DB39AC">
        <w:rPr>
          <w:rStyle w:val="normaltextrun"/>
        </w:rPr>
        <w:t>5</w:t>
      </w:r>
      <w:r w:rsidRPr="00681812">
        <w:rPr>
          <w:rStyle w:val="normaltextrun"/>
        </w:rPr>
        <w:t xml:space="preserve">. https://online.lexi.com. </w:t>
      </w:r>
      <w:r w:rsidRPr="00681812">
        <w:t xml:space="preserve">Accessed </w:t>
      </w:r>
      <w:r w:rsidR="00DB39AC">
        <w:t>February</w:t>
      </w:r>
      <w:r w:rsidRPr="00681812">
        <w:t xml:space="preserve"> </w:t>
      </w:r>
      <w:r w:rsidR="00DB39AC">
        <w:t>19</w:t>
      </w:r>
      <w:r w:rsidRPr="00681812">
        <w:t>, 202</w:t>
      </w:r>
      <w:r w:rsidR="00DB39AC">
        <w:t>5</w:t>
      </w:r>
      <w:r w:rsidRPr="00681812">
        <w:t>.</w:t>
      </w:r>
    </w:p>
    <w:p w14:paraId="792C6632" w14:textId="400BC43D" w:rsidR="00BE7072" w:rsidRPr="00681812" w:rsidRDefault="00BE7072" w:rsidP="00681812">
      <w:pPr>
        <w:pStyle w:val="ReferenceOrdered"/>
        <w:rPr>
          <w:rStyle w:val="normaltextrun"/>
        </w:rPr>
      </w:pPr>
      <w:r w:rsidRPr="00681812">
        <w:rPr>
          <w:rStyle w:val="normaltextrun"/>
        </w:rPr>
        <w:t xml:space="preserve">Micromedex® (electronic version). </w:t>
      </w:r>
      <w:proofErr w:type="spellStart"/>
      <w:r w:rsidRPr="00681812">
        <w:rPr>
          <w:rStyle w:val="normaltextrun"/>
        </w:rPr>
        <w:t>Merative</w:t>
      </w:r>
      <w:proofErr w:type="spellEnd"/>
      <w:r w:rsidRPr="00681812">
        <w:rPr>
          <w:rStyle w:val="normaltextrun"/>
        </w:rPr>
        <w:t xml:space="preserve">, Ann Arbor, Michigan, USA. Available at: https://www.micromedexsolutions.com/ (cited: </w:t>
      </w:r>
      <w:r w:rsidR="00DB39AC">
        <w:rPr>
          <w:rStyle w:val="normaltextrun"/>
        </w:rPr>
        <w:t>02/19/2025</w:t>
      </w:r>
      <w:r w:rsidRPr="00681812">
        <w:rPr>
          <w:rStyle w:val="normaltextrun"/>
        </w:rPr>
        <w:t>).</w:t>
      </w:r>
    </w:p>
    <w:p w14:paraId="375996DB" w14:textId="77777777" w:rsidR="00BE7072" w:rsidRPr="00681812" w:rsidRDefault="00BE7072" w:rsidP="00681812">
      <w:pPr>
        <w:pStyle w:val="ReferenceOrdered"/>
      </w:pPr>
      <w:bookmarkStart w:id="4" w:name="OLE_LINK29"/>
      <w:bookmarkEnd w:id="2"/>
      <w:bookmarkEnd w:id="3"/>
      <w:r w:rsidRPr="00681812">
        <w:t xml:space="preserve">Shaheen N, Falk G, Iyer P, et al. </w:t>
      </w:r>
      <w:bookmarkStart w:id="5" w:name="OLE_LINK15"/>
      <w:r w:rsidRPr="00681812">
        <w:t>Diagnosis and Management of Barrett’s Esophagus</w:t>
      </w:r>
      <w:bookmarkEnd w:id="5"/>
      <w:r w:rsidRPr="00681812">
        <w:t>: An Updated ACG Guideline. Am J Gastroenterol. 2022; 117:559-58</w:t>
      </w:r>
      <w:bookmarkEnd w:id="4"/>
      <w:r w:rsidRPr="00681812">
        <w:t>7.</w:t>
      </w:r>
    </w:p>
    <w:p w14:paraId="02FD31CB" w14:textId="77777777" w:rsidR="00BE7072" w:rsidRPr="00681812" w:rsidRDefault="00BE7072" w:rsidP="00681812">
      <w:pPr>
        <w:pStyle w:val="ReferenceOrdered"/>
      </w:pPr>
      <w:bookmarkStart w:id="6" w:name="OLE_LINK30"/>
      <w:r w:rsidRPr="00681812">
        <w:t xml:space="preserve">Katz P, Dunbar K, </w:t>
      </w:r>
      <w:proofErr w:type="spellStart"/>
      <w:r w:rsidRPr="00681812">
        <w:t>Schnoll</w:t>
      </w:r>
      <w:proofErr w:type="spellEnd"/>
      <w:r w:rsidRPr="00681812">
        <w:t>-Sussman F, et al</w:t>
      </w:r>
      <w:bookmarkStart w:id="7" w:name="OLE_LINK12"/>
      <w:r w:rsidRPr="00681812">
        <w:t xml:space="preserve">. </w:t>
      </w:r>
      <w:bookmarkStart w:id="8" w:name="OLE_LINK11"/>
      <w:r w:rsidRPr="00681812">
        <w:t>ACG Clinical Guideline for the Diagnosis and Management of Gastroesophageal Reflux Disease</w:t>
      </w:r>
      <w:bookmarkEnd w:id="7"/>
      <w:bookmarkEnd w:id="8"/>
      <w:r w:rsidRPr="00681812">
        <w:t>. Am J Gastroenterol. 2022; 117:27-56.</w:t>
      </w:r>
    </w:p>
    <w:p w14:paraId="466BF13E" w14:textId="77777777" w:rsidR="00BE7072" w:rsidRPr="00681812" w:rsidRDefault="00BE7072" w:rsidP="00681812">
      <w:pPr>
        <w:pStyle w:val="ReferenceOrdered"/>
      </w:pPr>
      <w:bookmarkStart w:id="9" w:name="OLE_LINK31"/>
      <w:bookmarkEnd w:id="6"/>
      <w:proofErr w:type="spellStart"/>
      <w:r w:rsidRPr="00681812">
        <w:t>Falconi</w:t>
      </w:r>
      <w:proofErr w:type="spellEnd"/>
      <w:r w:rsidRPr="00681812">
        <w:t xml:space="preserve"> M, Eriksson B, </w:t>
      </w:r>
      <w:proofErr w:type="spellStart"/>
      <w:r w:rsidRPr="00681812">
        <w:t>Kaltsas</w:t>
      </w:r>
      <w:proofErr w:type="spellEnd"/>
      <w:r w:rsidRPr="00681812">
        <w:t xml:space="preserve"> G, et al. </w:t>
      </w:r>
      <w:bookmarkStart w:id="10" w:name="OLE_LINK22"/>
      <w:r w:rsidRPr="00681812">
        <w:t>Consensus guidelines update for the management of functional p-NETs (F-p-NETs) and non-functional p-NETs (NF-p-NETs)</w:t>
      </w:r>
      <w:bookmarkEnd w:id="10"/>
      <w:r w:rsidRPr="00681812">
        <w:t>. Neuroendocrinology. 2016; 103(2): 153–171.</w:t>
      </w:r>
    </w:p>
    <w:bookmarkEnd w:id="9"/>
    <w:p w14:paraId="3612AFB8" w14:textId="77777777" w:rsidR="00BE7072" w:rsidRPr="00681812" w:rsidRDefault="00BE7072" w:rsidP="00681812">
      <w:pPr>
        <w:pStyle w:val="ReferenceOrdered"/>
      </w:pPr>
      <w:proofErr w:type="spellStart"/>
      <w:r w:rsidRPr="00681812">
        <w:t>Kavitt</w:t>
      </w:r>
      <w:proofErr w:type="spellEnd"/>
      <w:r w:rsidRPr="00681812">
        <w:t xml:space="preserve"> R, </w:t>
      </w:r>
      <w:proofErr w:type="spellStart"/>
      <w:r w:rsidRPr="00681812">
        <w:t>Lipowska</w:t>
      </w:r>
      <w:proofErr w:type="spellEnd"/>
      <w:r w:rsidRPr="00681812">
        <w:t xml:space="preserve"> A, </w:t>
      </w:r>
      <w:proofErr w:type="spellStart"/>
      <w:r w:rsidRPr="00681812">
        <w:t>Anyane-Yeboa</w:t>
      </w:r>
      <w:proofErr w:type="spellEnd"/>
      <w:r w:rsidRPr="00681812">
        <w:t xml:space="preserve"> A, et al. Diagnosis and Treatment of Peptic Ulcer Disease. The American Journal of Medicine (2019) 132:447−456</w:t>
      </w:r>
    </w:p>
    <w:p w14:paraId="26E25A0F" w14:textId="61769DC2" w:rsidR="00FF66BF" w:rsidRDefault="00BE7072" w:rsidP="00681812">
      <w:pPr>
        <w:pStyle w:val="ReferenceOrdered"/>
      </w:pPr>
      <w:bookmarkStart w:id="11" w:name="OLE_LINK32"/>
      <w:r w:rsidRPr="006A5E19">
        <w:rPr>
          <w:lang w:val="it-IT"/>
        </w:rPr>
        <w:t xml:space="preserve">Lanza FL, Chan F, Quigley E, et al. </w:t>
      </w:r>
      <w:bookmarkStart w:id="12" w:name="OLE_LINK19"/>
      <w:r w:rsidRPr="00681812">
        <w:t>Guidelines for Prevention of NSAID-Related Ulcer Complications</w:t>
      </w:r>
      <w:bookmarkEnd w:id="12"/>
      <w:r w:rsidRPr="00681812">
        <w:t>. Am J Gastroenterol 2009; 104: 728-738.</w:t>
      </w:r>
      <w:bookmarkEnd w:id="11"/>
    </w:p>
    <w:sectPr w:rsidR="00FF66BF" w:rsidSect="006A5E19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B053" w14:textId="77777777" w:rsidR="00F8243C" w:rsidRDefault="00F8243C">
      <w:r>
        <w:separator/>
      </w:r>
    </w:p>
  </w:endnote>
  <w:endnote w:type="continuationSeparator" w:id="0">
    <w:p w14:paraId="4572DB66" w14:textId="77777777" w:rsidR="00F8243C" w:rsidRDefault="00F8243C">
      <w:r>
        <w:continuationSeparator/>
      </w:r>
    </w:p>
  </w:endnote>
  <w:endnote w:type="continuationNotice" w:id="1">
    <w:p w14:paraId="59EE88C0" w14:textId="77777777" w:rsidR="00F8243C" w:rsidRDefault="00F82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7558F0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04AFE" w:rsidRPr="00B04AFE">
      <w:rPr>
        <w:rFonts w:cs="Arial"/>
        <w:noProof/>
        <w:sz w:val="16"/>
        <w:szCs w:val="16"/>
      </w:rPr>
      <w:t>PPI</w:t>
    </w:r>
    <w:r w:rsidR="00B04AFE">
      <w:rPr>
        <w:rFonts w:cs="Arial"/>
        <w:noProof/>
        <w:snapToGrid w:val="0"/>
        <w:color w:val="000000"/>
        <w:sz w:val="16"/>
        <w:szCs w:val="16"/>
      </w:rPr>
      <w:t xml:space="preserve"> Post Limit</w:t>
    </w:r>
    <w:r w:rsidR="00B04AFE" w:rsidRPr="00B04AFE">
      <w:rPr>
        <w:rFonts w:cs="Arial"/>
        <w:noProof/>
        <w:sz w:val="16"/>
        <w:szCs w:val="16"/>
      </w:rPr>
      <w:t xml:space="preserve"> PA</w:t>
    </w:r>
    <w:r w:rsidR="00B04AFE">
      <w:rPr>
        <w:rFonts w:cs="Arial"/>
        <w:noProof/>
        <w:snapToGrid w:val="0"/>
        <w:color w:val="000000"/>
        <w:sz w:val="16"/>
        <w:szCs w:val="16"/>
      </w:rPr>
      <w:t xml:space="preserve"> 169-J, 918-J P04-2025.docx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76EF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40C99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A37AD69" w:rsidR="00F75C81" w:rsidRPr="00AA1E6A" w:rsidRDefault="00C36B72" w:rsidP="006A5E1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A45602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04AFE" w:rsidRPr="00B04AFE">
      <w:rPr>
        <w:rFonts w:cs="Arial"/>
        <w:noProof/>
        <w:sz w:val="16"/>
        <w:szCs w:val="16"/>
      </w:rPr>
      <w:t>PPI</w:t>
    </w:r>
    <w:r w:rsidR="00B04AFE">
      <w:rPr>
        <w:rFonts w:cs="Arial"/>
        <w:noProof/>
        <w:snapToGrid w:val="0"/>
        <w:color w:val="000000"/>
        <w:sz w:val="16"/>
        <w:szCs w:val="16"/>
      </w:rPr>
      <w:t xml:space="preserve"> Post Limit</w:t>
    </w:r>
    <w:r w:rsidR="00B04AFE" w:rsidRPr="00B04AFE">
      <w:rPr>
        <w:rFonts w:cs="Arial"/>
        <w:noProof/>
        <w:sz w:val="16"/>
        <w:szCs w:val="16"/>
      </w:rPr>
      <w:t xml:space="preserve"> PA</w:t>
    </w:r>
    <w:r w:rsidR="00B04AFE">
      <w:rPr>
        <w:rFonts w:cs="Arial"/>
        <w:noProof/>
        <w:snapToGrid w:val="0"/>
        <w:color w:val="000000"/>
        <w:sz w:val="16"/>
        <w:szCs w:val="16"/>
      </w:rPr>
      <w:t xml:space="preserve"> 169-J, 918-J P04-2025.docx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76EF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1271FC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C422397" w:rsidR="00ED04EC" w:rsidRPr="00F50D98" w:rsidRDefault="00F50D98" w:rsidP="006A5E1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0A0F3" w14:textId="77777777" w:rsidR="00F8243C" w:rsidRDefault="00F8243C">
      <w:r>
        <w:separator/>
      </w:r>
    </w:p>
  </w:footnote>
  <w:footnote w:type="continuationSeparator" w:id="0">
    <w:p w14:paraId="4A47E3BD" w14:textId="77777777" w:rsidR="00F8243C" w:rsidRDefault="00F8243C">
      <w:r>
        <w:continuationSeparator/>
      </w:r>
    </w:p>
  </w:footnote>
  <w:footnote w:type="continuationNotice" w:id="1">
    <w:p w14:paraId="56F01F51" w14:textId="77777777" w:rsidR="00F8243C" w:rsidRDefault="00F824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B7A7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B7A7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4BD4DA4" w:rsidR="00ED04EC" w:rsidRPr="006B7A72" w:rsidRDefault="006B7A72" w:rsidP="006E32D4">
          <w:pPr>
            <w:pStyle w:val="Header"/>
            <w:rPr>
              <w:rFonts w:cs="Arial"/>
              <w:sz w:val="16"/>
              <w:szCs w:val="16"/>
            </w:rPr>
          </w:pPr>
          <w:r w:rsidRPr="006B7A72">
            <w:rPr>
              <w:sz w:val="16"/>
              <w:szCs w:val="16"/>
            </w:rPr>
            <w:t>169-J,</w:t>
          </w:r>
          <w:r w:rsidR="0071399F">
            <w:rPr>
              <w:sz w:val="16"/>
              <w:szCs w:val="16"/>
            </w:rPr>
            <w:t xml:space="preserve"> </w:t>
          </w:r>
          <w:r w:rsidRPr="006B7A72">
            <w:rPr>
              <w:sz w:val="16"/>
              <w:szCs w:val="16"/>
            </w:rPr>
            <w:t>918-J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16E3"/>
    <w:multiLevelType w:val="hybridMultilevel"/>
    <w:tmpl w:val="66D2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B03A5"/>
    <w:multiLevelType w:val="hybridMultilevel"/>
    <w:tmpl w:val="BA4A4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AA68B2"/>
    <w:multiLevelType w:val="hybridMultilevel"/>
    <w:tmpl w:val="847AB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A12DD"/>
    <w:multiLevelType w:val="hybridMultilevel"/>
    <w:tmpl w:val="964E9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F727D"/>
    <w:multiLevelType w:val="hybridMultilevel"/>
    <w:tmpl w:val="62A6042E"/>
    <w:lvl w:ilvl="0" w:tplc="B4CEC85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57442"/>
    <w:multiLevelType w:val="hybridMultilevel"/>
    <w:tmpl w:val="7F266C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E22371"/>
    <w:multiLevelType w:val="hybridMultilevel"/>
    <w:tmpl w:val="8EB062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E7430"/>
    <w:multiLevelType w:val="hybridMultilevel"/>
    <w:tmpl w:val="39FCC1EE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0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3"/>
  </w:num>
  <w:num w:numId="18" w16cid:durableId="299724409">
    <w:abstractNumId w:val="27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29"/>
  </w:num>
  <w:num w:numId="23" w16cid:durableId="1997420403">
    <w:abstractNumId w:val="31"/>
  </w:num>
  <w:num w:numId="24" w16cid:durableId="33312838">
    <w:abstractNumId w:val="28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3"/>
  </w:num>
  <w:num w:numId="28" w16cid:durableId="70129652">
    <w:abstractNumId w:val="12"/>
  </w:num>
  <w:num w:numId="29" w16cid:durableId="12453830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481404">
    <w:abstractNumId w:val="10"/>
  </w:num>
  <w:num w:numId="31" w16cid:durableId="1344552865">
    <w:abstractNumId w:val="18"/>
  </w:num>
  <w:num w:numId="32" w16cid:durableId="133760055">
    <w:abstractNumId w:val="32"/>
  </w:num>
  <w:num w:numId="33" w16cid:durableId="795222122">
    <w:abstractNumId w:val="17"/>
  </w:num>
  <w:num w:numId="34" w16cid:durableId="1833642665">
    <w:abstractNumId w:val="24"/>
  </w:num>
  <w:num w:numId="35" w16cid:durableId="118228386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64C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9F1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50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44D"/>
    <w:rsid w:val="00150AFC"/>
    <w:rsid w:val="00151DA8"/>
    <w:rsid w:val="00152135"/>
    <w:rsid w:val="00153043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4F5E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896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5D44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339B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603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A4E"/>
    <w:rsid w:val="002504F9"/>
    <w:rsid w:val="00250C39"/>
    <w:rsid w:val="00250E25"/>
    <w:rsid w:val="00251EE2"/>
    <w:rsid w:val="00252CE1"/>
    <w:rsid w:val="00252FD9"/>
    <w:rsid w:val="0025338B"/>
    <w:rsid w:val="0025395A"/>
    <w:rsid w:val="00254313"/>
    <w:rsid w:val="00254CF2"/>
    <w:rsid w:val="0025520A"/>
    <w:rsid w:val="002556AB"/>
    <w:rsid w:val="00255903"/>
    <w:rsid w:val="002568ED"/>
    <w:rsid w:val="00256F54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950"/>
    <w:rsid w:val="002A0A3B"/>
    <w:rsid w:val="002A0DB7"/>
    <w:rsid w:val="002A0F12"/>
    <w:rsid w:val="002A1602"/>
    <w:rsid w:val="002A1A1C"/>
    <w:rsid w:val="002A245D"/>
    <w:rsid w:val="002A3264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925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18E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038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0E77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2F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7F3"/>
    <w:rsid w:val="004879FA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361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2317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3A0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AF1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39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9F1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7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170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793"/>
    <w:rsid w:val="00665820"/>
    <w:rsid w:val="00666579"/>
    <w:rsid w:val="00666A21"/>
    <w:rsid w:val="00666FFD"/>
    <w:rsid w:val="00667755"/>
    <w:rsid w:val="00667944"/>
    <w:rsid w:val="00667F2B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812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165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E19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A72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EF3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9A7"/>
    <w:rsid w:val="006E28B1"/>
    <w:rsid w:val="006E32D4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664"/>
    <w:rsid w:val="006F6AD5"/>
    <w:rsid w:val="006F7127"/>
    <w:rsid w:val="00700342"/>
    <w:rsid w:val="007006E7"/>
    <w:rsid w:val="00701964"/>
    <w:rsid w:val="00701BB0"/>
    <w:rsid w:val="0070227F"/>
    <w:rsid w:val="00702357"/>
    <w:rsid w:val="00702DB8"/>
    <w:rsid w:val="007034B1"/>
    <w:rsid w:val="00703C67"/>
    <w:rsid w:val="007061F8"/>
    <w:rsid w:val="00706B11"/>
    <w:rsid w:val="00706F00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399F"/>
    <w:rsid w:val="00713D8C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872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56F7"/>
    <w:rsid w:val="008571AA"/>
    <w:rsid w:val="00860962"/>
    <w:rsid w:val="00860CBD"/>
    <w:rsid w:val="00860E69"/>
    <w:rsid w:val="00861A8E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7F9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389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758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793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6EF0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28F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6F09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155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3DB7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5D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AFE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AD8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6E5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84B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5AEE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BB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2F17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072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A2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963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403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0D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2F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ACB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4F0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324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9AC"/>
    <w:rsid w:val="00DB3F87"/>
    <w:rsid w:val="00DB41D7"/>
    <w:rsid w:val="00DB4476"/>
    <w:rsid w:val="00DB45FA"/>
    <w:rsid w:val="00DB5750"/>
    <w:rsid w:val="00DB5FB0"/>
    <w:rsid w:val="00DB621A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B7B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452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636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F3C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6C3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86B"/>
    <w:rsid w:val="00F3796F"/>
    <w:rsid w:val="00F37FBD"/>
    <w:rsid w:val="00F40B91"/>
    <w:rsid w:val="00F41186"/>
    <w:rsid w:val="00F4170B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2F53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43C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96"/>
    <w:rsid w:val="00FE057F"/>
    <w:rsid w:val="00FE06ED"/>
    <w:rsid w:val="00FE0C63"/>
    <w:rsid w:val="00FE192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B1B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2BE20AB3-28E4-4AAA-ACD7-96FC3497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3d05f658-b5f7-4df6-8c02-f51ceb2e0127"/>
    <ds:schemaRef ds:uri="bed7683f-31c5-4c04-bbbd-fa4ba9c25b3c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68FB0B-D67A-45C6-8191-F05D66DB4C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764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PPI Post Limit PA 169-J, MMT 918-J UDR 04-2024a-V</vt:lpstr>
    </vt:vector>
  </TitlesOfParts>
  <Company>PCS Health Systems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 Post Limit PA 169-J, MMT 918-J</dc:title>
  <dc:subject/>
  <dc:creator>CVS Caremark</dc:creator>
  <cp:keywords/>
  <cp:lastModifiedBy>Sarnese, Nate</cp:lastModifiedBy>
  <cp:revision>5</cp:revision>
  <cp:lastPrinted>2024-04-24T14:29:00Z</cp:lastPrinted>
  <dcterms:created xsi:type="dcterms:W3CDTF">2025-06-19T15:51:00Z</dcterms:created>
  <dcterms:modified xsi:type="dcterms:W3CDTF">2025-06-25T19:40:00Z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